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 xml:space="preserve">term adverse effect on a person’s ability to carry out normal day to day activities. Some specific conditions deemed to be disabilities include HIV, cancer, multiple </w:t>
      </w:r>
      <w:proofErr w:type="gramStart"/>
      <w:r w:rsidRPr="00F61AF9">
        <w:rPr>
          <w:rFonts w:asciiTheme="minorHAnsi" w:hAnsiTheme="minorHAnsi"/>
          <w:lang w:val="en-GB"/>
        </w:rPr>
        <w:t>sclerosis</w:t>
      </w:r>
      <w:proofErr w:type="gramEnd"/>
      <w:r w:rsidRPr="00F61AF9">
        <w:rPr>
          <w:rFonts w:asciiTheme="minorHAnsi" w:hAnsiTheme="minorHAnsi"/>
          <w:lang w:val="en-GB"/>
        </w:rPr>
        <w:t xml:space="preserve">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6745A"/>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Hannah Chapman</cp:lastModifiedBy>
  <cp:revision>2</cp:revision>
  <cp:lastPrinted>2019-04-04T10:18:00Z</cp:lastPrinted>
  <dcterms:created xsi:type="dcterms:W3CDTF">2024-01-23T11:11:00Z</dcterms:created>
  <dcterms:modified xsi:type="dcterms:W3CDTF">2024-01-23T11:11:00Z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